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C881" w14:textId="77777777" w:rsidR="002950FF" w:rsidRDefault="00000000">
      <w:pPr>
        <w:ind w:left="2545" w:hangingChars="1100" w:hanging="2545"/>
        <w:jc w:val="center"/>
        <w:rPr>
          <w:rFonts w:ascii="ＭＳ 明朝" w:hAnsi="ＭＳ 明朝"/>
          <w:b/>
          <w:bCs/>
          <w:sz w:val="22"/>
          <w:szCs w:val="22"/>
        </w:rPr>
      </w:pPr>
      <w:r>
        <w:rPr>
          <w:rFonts w:ascii="ＭＳ 明朝" w:hAnsi="ＭＳ 明朝" w:hint="eastAsia"/>
          <w:b/>
          <w:bCs/>
          <w:sz w:val="22"/>
          <w:szCs w:val="22"/>
        </w:rPr>
        <w:t>第３１回全国クラブチームサッカー選手権大会　新潟県大会要項</w:t>
      </w:r>
    </w:p>
    <w:p w14:paraId="36E1F4AD" w14:textId="77777777" w:rsidR="002950FF" w:rsidRDefault="002950FF">
      <w:pPr>
        <w:ind w:left="2545" w:hangingChars="1100" w:hanging="2545"/>
        <w:jc w:val="center"/>
        <w:rPr>
          <w:rFonts w:ascii="ＭＳ 明朝" w:hAnsi="ＭＳ 明朝"/>
          <w:b/>
          <w:bCs/>
          <w:sz w:val="22"/>
          <w:szCs w:val="22"/>
        </w:rPr>
      </w:pPr>
    </w:p>
    <w:p w14:paraId="15745556" w14:textId="77777777" w:rsidR="002950FF" w:rsidRDefault="00000000">
      <w:pPr>
        <w:rPr>
          <w:rFonts w:ascii="ＭＳ 明朝" w:hAnsi="ＭＳ 明朝"/>
          <w:sz w:val="22"/>
          <w:szCs w:val="22"/>
        </w:rPr>
      </w:pPr>
      <w:r>
        <w:rPr>
          <w:rFonts w:ascii="ＭＳ 明朝" w:hAnsi="ＭＳ 明朝" w:hint="eastAsia"/>
          <w:sz w:val="22"/>
          <w:szCs w:val="22"/>
        </w:rPr>
        <w:t xml:space="preserve">１．名　　称　</w:t>
      </w:r>
      <w:r>
        <w:rPr>
          <w:rFonts w:ascii="ＭＳ 明朝" w:hAnsi="ＭＳ 明朝" w:hint="eastAsia"/>
          <w:bCs/>
          <w:sz w:val="22"/>
          <w:szCs w:val="22"/>
        </w:rPr>
        <w:t>第３１回全国クラブチームサッカー選手権大会　新潟県大会</w:t>
      </w:r>
    </w:p>
    <w:p w14:paraId="2AFA7878" w14:textId="77777777" w:rsidR="002950FF" w:rsidRDefault="00000000">
      <w:pPr>
        <w:rPr>
          <w:rFonts w:ascii="ＭＳ 明朝" w:hAnsi="ＭＳ 明朝"/>
          <w:sz w:val="22"/>
          <w:szCs w:val="22"/>
        </w:rPr>
      </w:pPr>
      <w:r>
        <w:rPr>
          <w:rFonts w:ascii="ＭＳ 明朝" w:hAnsi="ＭＳ 明朝" w:hint="eastAsia"/>
          <w:sz w:val="22"/>
          <w:szCs w:val="22"/>
        </w:rPr>
        <w:t>２．主　　催　新潟県社会人サッカー連盟</w:t>
      </w:r>
    </w:p>
    <w:p w14:paraId="65EC5E38" w14:textId="77777777" w:rsidR="002950FF" w:rsidRDefault="00000000">
      <w:pPr>
        <w:rPr>
          <w:rFonts w:ascii="ＭＳ 明朝" w:hAnsi="ＭＳ 明朝"/>
          <w:sz w:val="22"/>
          <w:szCs w:val="22"/>
        </w:rPr>
      </w:pPr>
      <w:r>
        <w:rPr>
          <w:rFonts w:ascii="ＭＳ 明朝" w:hAnsi="ＭＳ 明朝" w:hint="eastAsia"/>
          <w:sz w:val="22"/>
          <w:szCs w:val="22"/>
        </w:rPr>
        <w:t>３．共　　催　一般社団法人　新潟県サッカー協会、</w:t>
      </w:r>
    </w:p>
    <w:p w14:paraId="37E78740" w14:textId="77777777" w:rsidR="002950FF" w:rsidRDefault="00000000">
      <w:pPr>
        <w:rPr>
          <w:rFonts w:ascii="ＭＳ 明朝" w:hAnsi="ＭＳ 明朝"/>
          <w:sz w:val="22"/>
          <w:szCs w:val="22"/>
        </w:rPr>
      </w:pPr>
      <w:r>
        <w:rPr>
          <w:rFonts w:ascii="ＭＳ 明朝" w:hAnsi="ＭＳ 明朝" w:hint="eastAsia"/>
          <w:sz w:val="22"/>
          <w:szCs w:val="22"/>
        </w:rPr>
        <w:t>４</w:t>
      </w:r>
      <w:r>
        <w:rPr>
          <w:rFonts w:ascii="ＭＳ 明朝" w:hAnsi="ＭＳ 明朝" w:hint="eastAsia"/>
          <w:sz w:val="22"/>
          <w:szCs w:val="22"/>
          <w:lang w:eastAsia="zh-TW"/>
        </w:rPr>
        <w:t xml:space="preserve">．開催期日　</w:t>
      </w:r>
      <w:r>
        <w:rPr>
          <w:rFonts w:ascii="ＭＳ 明朝" w:hAnsi="ＭＳ 明朝" w:hint="eastAsia"/>
          <w:sz w:val="22"/>
          <w:szCs w:val="22"/>
        </w:rPr>
        <w:t>２０２４</w:t>
      </w:r>
      <w:r>
        <w:rPr>
          <w:rFonts w:ascii="ＭＳ 明朝" w:hAnsi="ＭＳ 明朝" w:hint="eastAsia"/>
          <w:sz w:val="22"/>
          <w:szCs w:val="22"/>
          <w:lang w:eastAsia="zh-TW"/>
        </w:rPr>
        <w:t>年</w:t>
      </w:r>
      <w:r>
        <w:rPr>
          <w:rFonts w:ascii="ＭＳ 明朝" w:hAnsi="ＭＳ 明朝" w:hint="eastAsia"/>
          <w:sz w:val="22"/>
          <w:szCs w:val="22"/>
        </w:rPr>
        <w:t xml:space="preserve">　４</w:t>
      </w:r>
      <w:r>
        <w:rPr>
          <w:rFonts w:ascii="ＭＳ 明朝" w:hAnsi="ＭＳ 明朝" w:hint="eastAsia"/>
          <w:sz w:val="22"/>
          <w:szCs w:val="22"/>
          <w:lang w:eastAsia="zh-TW"/>
        </w:rPr>
        <w:t>月</w:t>
      </w:r>
      <w:r>
        <w:rPr>
          <w:rFonts w:ascii="ＭＳ 明朝" w:hAnsi="ＭＳ 明朝" w:hint="eastAsia"/>
          <w:sz w:val="22"/>
          <w:szCs w:val="22"/>
        </w:rPr>
        <w:t>１４</w:t>
      </w:r>
      <w:r>
        <w:rPr>
          <w:rFonts w:ascii="ＭＳ 明朝" w:hAnsi="ＭＳ 明朝" w:hint="eastAsia"/>
          <w:sz w:val="22"/>
          <w:szCs w:val="22"/>
          <w:lang w:eastAsia="zh-TW"/>
        </w:rPr>
        <w:t>日（</w:t>
      </w:r>
      <w:r>
        <w:rPr>
          <w:rFonts w:ascii="ＭＳ 明朝" w:hAnsi="ＭＳ 明朝" w:hint="eastAsia"/>
          <w:sz w:val="22"/>
          <w:szCs w:val="22"/>
        </w:rPr>
        <w:t>日</w:t>
      </w:r>
      <w:r>
        <w:rPr>
          <w:rFonts w:ascii="ＭＳ 明朝" w:hAnsi="ＭＳ 明朝" w:hint="eastAsia"/>
          <w:sz w:val="22"/>
          <w:szCs w:val="22"/>
          <w:lang w:eastAsia="zh-TW"/>
        </w:rPr>
        <w:t>）</w:t>
      </w:r>
      <w:r>
        <w:rPr>
          <w:rFonts w:ascii="ＭＳ 明朝" w:hAnsi="ＭＳ 明朝" w:hint="eastAsia"/>
          <w:sz w:val="22"/>
          <w:szCs w:val="22"/>
        </w:rPr>
        <w:t>、</w:t>
      </w:r>
      <w:r>
        <w:rPr>
          <w:rFonts w:ascii="ＭＳ 明朝" w:hAnsi="ＭＳ 明朝" w:hint="eastAsia"/>
          <w:sz w:val="22"/>
          <w:szCs w:val="22"/>
          <w:lang w:eastAsia="zh-TW"/>
        </w:rPr>
        <w:t>５月１</w:t>
      </w:r>
      <w:r>
        <w:rPr>
          <w:rFonts w:ascii="ＭＳ 明朝" w:hAnsi="ＭＳ 明朝" w:hint="eastAsia"/>
          <w:sz w:val="22"/>
          <w:szCs w:val="22"/>
        </w:rPr>
        <w:t>９</w:t>
      </w:r>
      <w:r>
        <w:rPr>
          <w:rFonts w:ascii="ＭＳ 明朝" w:hAnsi="ＭＳ 明朝" w:hint="eastAsia"/>
          <w:sz w:val="22"/>
          <w:szCs w:val="22"/>
          <w:lang w:eastAsia="zh-TW"/>
        </w:rPr>
        <w:t>（日）、</w:t>
      </w:r>
      <w:r>
        <w:rPr>
          <w:rFonts w:ascii="ＭＳ 明朝" w:hAnsi="ＭＳ 明朝" w:hint="eastAsia"/>
          <w:sz w:val="22"/>
          <w:szCs w:val="22"/>
        </w:rPr>
        <w:t>６</w:t>
      </w:r>
      <w:r>
        <w:rPr>
          <w:rFonts w:ascii="ＭＳ 明朝" w:hAnsi="ＭＳ 明朝" w:hint="eastAsia"/>
          <w:sz w:val="22"/>
          <w:szCs w:val="22"/>
          <w:lang w:eastAsia="zh-TW"/>
        </w:rPr>
        <w:t>月１</w:t>
      </w:r>
      <w:r>
        <w:rPr>
          <w:rFonts w:ascii="ＭＳ 明朝" w:hAnsi="ＭＳ 明朝" w:hint="eastAsia"/>
          <w:sz w:val="22"/>
          <w:szCs w:val="22"/>
        </w:rPr>
        <w:t>６</w:t>
      </w:r>
      <w:r>
        <w:rPr>
          <w:rFonts w:ascii="ＭＳ 明朝" w:hAnsi="ＭＳ 明朝" w:hint="eastAsia"/>
          <w:sz w:val="22"/>
          <w:szCs w:val="22"/>
          <w:lang w:eastAsia="zh-TW"/>
        </w:rPr>
        <w:t>日（日）　予定</w:t>
      </w:r>
    </w:p>
    <w:p w14:paraId="483C7439" w14:textId="77777777" w:rsidR="002950FF" w:rsidRDefault="00000000">
      <w:pPr>
        <w:rPr>
          <w:rFonts w:ascii="ＭＳ 明朝" w:hAnsi="ＭＳ 明朝"/>
          <w:sz w:val="22"/>
          <w:szCs w:val="22"/>
        </w:rPr>
      </w:pPr>
      <w:r>
        <w:rPr>
          <w:rFonts w:ascii="ＭＳ 明朝" w:hAnsi="ＭＳ 明朝" w:hint="eastAsia"/>
          <w:sz w:val="22"/>
          <w:szCs w:val="22"/>
        </w:rPr>
        <w:t>５．競技会場　新潟市営鳥屋野球技場、長岡ニュータウン運動公園ほか</w:t>
      </w:r>
    </w:p>
    <w:p w14:paraId="52437D9B" w14:textId="77777777" w:rsidR="002950FF" w:rsidRDefault="00000000">
      <w:pPr>
        <w:ind w:left="1828" w:hangingChars="793" w:hanging="1828"/>
        <w:jc w:val="left"/>
        <w:rPr>
          <w:rFonts w:ascii="ＭＳ 明朝" w:hAnsi="ＭＳ 明朝"/>
          <w:sz w:val="22"/>
          <w:szCs w:val="22"/>
        </w:rPr>
      </w:pPr>
      <w:r>
        <w:rPr>
          <w:rFonts w:ascii="ＭＳ 明朝" w:hAnsi="ＭＳ 明朝" w:hint="eastAsia"/>
          <w:bCs/>
          <w:sz w:val="22"/>
          <w:szCs w:val="22"/>
        </w:rPr>
        <w:t>６．参加資格</w:t>
      </w:r>
      <w:r>
        <w:rPr>
          <w:rFonts w:ascii="ＭＳ 明朝" w:hAnsi="ＭＳ 明朝" w:hint="eastAsia"/>
          <w:sz w:val="22"/>
          <w:szCs w:val="22"/>
        </w:rPr>
        <w:t xml:space="preserve">　（公財）日本サッカー協会に登録された第1種（準加盟を含む）のクラブチームであって、同様に新潟県社会人サッカー連盟に登録されたチームであり、次の資格を有するものに限る。</w:t>
      </w:r>
    </w:p>
    <w:p w14:paraId="0236876B"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2024年度加盟登録手続きを完了し、会費納入済みであること。</w:t>
      </w:r>
    </w:p>
    <w:p w14:paraId="00F5BAC3"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参加チームはＪリーグ・ＪＦＬ・地域リーグ加盟チーム、自衛隊・自治体職員・大学・高専・専門学校の連盟加盟チームは出場出来ない。</w:t>
      </w:r>
    </w:p>
    <w:p w14:paraId="6E0A88BB"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参加チームは、大学生、高等専門学校生、専門学校の学生のみのチームは認めない。</w:t>
      </w:r>
    </w:p>
    <w:p w14:paraId="252C601F" w14:textId="77777777" w:rsidR="002950FF" w:rsidRDefault="00000000">
      <w:pPr>
        <w:numPr>
          <w:ilvl w:val="0"/>
          <w:numId w:val="1"/>
        </w:numPr>
        <w:ind w:left="1672"/>
        <w:rPr>
          <w:rFonts w:ascii="ＭＳ 明朝" w:hAnsi="ＭＳ 明朝"/>
          <w:sz w:val="22"/>
          <w:szCs w:val="22"/>
        </w:rPr>
      </w:pPr>
      <w:r>
        <w:rPr>
          <w:rFonts w:ascii="ＭＳ 明朝" w:hAnsi="ＭＳ 明朝" w:hint="eastAsia"/>
          <w:sz w:val="22"/>
          <w:szCs w:val="22"/>
        </w:rPr>
        <w:t>参加チーム名は、法人名（組織名）を冠していないこと。</w:t>
      </w:r>
    </w:p>
    <w:p w14:paraId="3270452D"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参加選手は他のチームと二重登録されていないこと。</w:t>
      </w:r>
    </w:p>
    <w:p w14:paraId="181AA6DE"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（公財）日本サッカー協会発行の選手証を持参している選手に限る。</w:t>
      </w:r>
    </w:p>
    <w:p w14:paraId="51804C1E"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外国籍選手は３名までエントリーを認め、３名が出場できる。</w:t>
      </w:r>
    </w:p>
    <w:p w14:paraId="41F500F3" w14:textId="77777777" w:rsidR="002950FF" w:rsidRDefault="00000000">
      <w:pPr>
        <w:numPr>
          <w:ilvl w:val="0"/>
          <w:numId w:val="1"/>
        </w:numPr>
        <w:ind w:left="1672"/>
        <w:jc w:val="left"/>
        <w:rPr>
          <w:rFonts w:ascii="ＭＳ 明朝" w:hAnsi="ＭＳ 明朝"/>
          <w:sz w:val="22"/>
          <w:szCs w:val="22"/>
        </w:rPr>
      </w:pPr>
      <w:r>
        <w:rPr>
          <w:rFonts w:ascii="ＭＳ 明朝" w:hAnsi="ＭＳ 明朝" w:hint="eastAsia"/>
          <w:sz w:val="22"/>
          <w:szCs w:val="22"/>
        </w:rPr>
        <w:t>参加選手のうち、大学・高等専門学校・専門学校に在学している選手は５名までエントリーを認め、５名が出場できる。</w:t>
      </w:r>
    </w:p>
    <w:p w14:paraId="6F325340" w14:textId="77777777" w:rsidR="002950FF" w:rsidRDefault="00000000">
      <w:pPr>
        <w:numPr>
          <w:ilvl w:val="0"/>
          <w:numId w:val="1"/>
        </w:numPr>
        <w:rPr>
          <w:rFonts w:ascii="ＭＳ 明朝" w:hAnsi="ＭＳ 明朝"/>
          <w:sz w:val="22"/>
          <w:szCs w:val="22"/>
        </w:rPr>
      </w:pPr>
      <w:r>
        <w:rPr>
          <w:rFonts w:ascii="ＭＳ 明朝" w:hAnsi="ＭＳ 明朝" w:hint="eastAsia"/>
          <w:sz w:val="22"/>
          <w:szCs w:val="22"/>
        </w:rPr>
        <w:t>（公財）日本サッカー協会により「クラブ申請」を承認された「クラブ」に所属するチームについては、同一「クラブ」内のチームに所属する選手を移籍手続きを行うことなく本大会に参加させることができる。この場合、同一「クラブ」内のチームであれば、複数のチームから選手を参加させることも可能とする。ただし、適用対象となる選手の年齢は第２種年代のみとし、同一「クラブ｣内の２種登録チームから選手を参加させることが出来る。第1種・シニアの年代の選手は適用対象外とする。但し、２種登録選手は３名までエントリーを認め、３名が出場できる。</w:t>
      </w:r>
    </w:p>
    <w:p w14:paraId="78B0AA71" w14:textId="77777777" w:rsidR="002950FF" w:rsidRDefault="00000000">
      <w:pPr>
        <w:numPr>
          <w:ilvl w:val="0"/>
          <w:numId w:val="1"/>
        </w:numPr>
        <w:ind w:left="1672"/>
        <w:rPr>
          <w:rFonts w:ascii="ＭＳ 明朝" w:hAnsi="ＭＳ 明朝"/>
          <w:sz w:val="22"/>
          <w:szCs w:val="22"/>
        </w:rPr>
      </w:pPr>
      <w:r>
        <w:rPr>
          <w:rFonts w:ascii="ＭＳ 明朝" w:hAnsi="ＭＳ 明朝" w:hint="eastAsia"/>
          <w:sz w:val="22"/>
          <w:szCs w:val="22"/>
        </w:rPr>
        <w:t>参加選手に疑義のある場合は、新潟県社会人サッカー連盟の意見を求めることとし、尚疑いのある場合、全国社会人サッカー連盟理事総会がこれを裁定する。</w:t>
      </w:r>
    </w:p>
    <w:p w14:paraId="2C87BC58" w14:textId="77777777" w:rsidR="002950FF" w:rsidRDefault="002950FF">
      <w:pPr>
        <w:ind w:left="1672"/>
        <w:rPr>
          <w:rFonts w:ascii="ＭＳ 明朝" w:hAnsi="ＭＳ 明朝"/>
          <w:sz w:val="22"/>
          <w:szCs w:val="22"/>
        </w:rPr>
      </w:pPr>
    </w:p>
    <w:p w14:paraId="6E514938" w14:textId="77777777" w:rsidR="002950FF" w:rsidRDefault="00000000">
      <w:pPr>
        <w:rPr>
          <w:rFonts w:ascii="ＭＳ 明朝" w:hAnsi="ＭＳ 明朝"/>
          <w:bCs/>
          <w:sz w:val="22"/>
          <w:szCs w:val="22"/>
        </w:rPr>
      </w:pPr>
      <w:r>
        <w:rPr>
          <w:rFonts w:ascii="ＭＳ 明朝" w:hAnsi="ＭＳ 明朝" w:hint="eastAsia"/>
          <w:bCs/>
          <w:sz w:val="22"/>
          <w:szCs w:val="22"/>
        </w:rPr>
        <w:t>７．競技方法</w:t>
      </w:r>
    </w:p>
    <w:p w14:paraId="3F72CD99" w14:textId="77777777" w:rsidR="002950FF" w:rsidRDefault="00000000">
      <w:pPr>
        <w:ind w:firstLineChars="554" w:firstLine="1277"/>
        <w:rPr>
          <w:rFonts w:ascii="ＭＳ 明朝" w:hAnsi="ＭＳ 明朝"/>
          <w:sz w:val="22"/>
          <w:szCs w:val="22"/>
        </w:rPr>
      </w:pPr>
      <w:r>
        <w:rPr>
          <w:rFonts w:ascii="ＭＳ 明朝" w:hAnsi="ＭＳ 明朝" w:hint="eastAsia"/>
          <w:sz w:val="22"/>
          <w:szCs w:val="22"/>
        </w:rPr>
        <w:t>①　本大会はトーナメント方式によって行い代表１チームを決定する。</w:t>
      </w:r>
    </w:p>
    <w:p w14:paraId="324641EC" w14:textId="77777777" w:rsidR="002950FF" w:rsidRDefault="00000000">
      <w:pPr>
        <w:ind w:leftChars="579" w:left="1783" w:hangingChars="220" w:hanging="507"/>
        <w:rPr>
          <w:rFonts w:ascii="ＭＳ 明朝" w:hAnsi="ＭＳ 明朝"/>
          <w:sz w:val="22"/>
          <w:szCs w:val="22"/>
        </w:rPr>
      </w:pPr>
      <w:r>
        <w:rPr>
          <w:rFonts w:ascii="ＭＳ 明朝" w:hAnsi="ＭＳ 明朝" w:hint="eastAsia"/>
          <w:sz w:val="22"/>
          <w:szCs w:val="22"/>
        </w:rPr>
        <w:t>②　試合時間は７０分（前・後半３５分）、ハーフタイムのインターバルは１０分（前半終了から後半開始まで）とし勝敗が決しない場合はＰＫ方式（ＰＫ方式に入る前のインターバル１分）により次戦に進むチームを決定する。但し決勝戦で勝敗が決しない場合は２０分（前・後半１０分）の延長戦（延長戦に入る前のインターバルは３分）を行い、尚決しない場合はＰＫ方式（ＰＫ方式に入る前のインターバル１分）により優勝チームを決定する。</w:t>
      </w:r>
    </w:p>
    <w:p w14:paraId="4C5BBE52" w14:textId="77777777" w:rsidR="002950FF" w:rsidRDefault="00000000">
      <w:pPr>
        <w:ind w:leftChars="554" w:left="1451" w:hangingChars="100" w:hanging="230"/>
        <w:rPr>
          <w:rFonts w:ascii="ＭＳ 明朝" w:hAnsi="ＭＳ 明朝"/>
          <w:bCs/>
          <w:sz w:val="22"/>
          <w:szCs w:val="22"/>
          <w:u w:val="single"/>
        </w:rPr>
      </w:pPr>
      <w:r>
        <w:rPr>
          <w:rFonts w:ascii="ＭＳ 明朝" w:hAnsi="ＭＳ 明朝" w:hint="eastAsia"/>
          <w:bCs/>
          <w:sz w:val="22"/>
          <w:szCs w:val="22"/>
        </w:rPr>
        <w:t xml:space="preserve">③　</w:t>
      </w:r>
      <w:r>
        <w:rPr>
          <w:rFonts w:ascii="ＭＳ 明朝" w:hAnsi="ＭＳ 明朝" w:hint="eastAsia"/>
          <w:bCs/>
          <w:sz w:val="22"/>
          <w:szCs w:val="22"/>
          <w:u w:val="single"/>
        </w:rPr>
        <w:t>優勝チームは新潟県代表として、第３１回全国クラブチームサッカー選手権大会北信越大会への出場権を得る。</w:t>
      </w:r>
    </w:p>
    <w:p w14:paraId="76A1237B" w14:textId="77777777" w:rsidR="002950FF" w:rsidRDefault="002950FF">
      <w:pPr>
        <w:ind w:left="1260"/>
        <w:rPr>
          <w:rFonts w:ascii="ＭＳ 明朝" w:hAnsi="ＭＳ 明朝"/>
          <w:bCs/>
          <w:sz w:val="22"/>
          <w:szCs w:val="22"/>
        </w:rPr>
      </w:pPr>
    </w:p>
    <w:p w14:paraId="1EDB21C4" w14:textId="77777777" w:rsidR="002950FF" w:rsidRDefault="002950FF">
      <w:pPr>
        <w:ind w:left="1260"/>
        <w:rPr>
          <w:rFonts w:ascii="ＭＳ 明朝" w:hAnsi="ＭＳ 明朝"/>
          <w:bCs/>
          <w:sz w:val="22"/>
          <w:szCs w:val="22"/>
        </w:rPr>
      </w:pPr>
    </w:p>
    <w:p w14:paraId="57AB2E40" w14:textId="77777777" w:rsidR="002950FF" w:rsidRDefault="00000000">
      <w:pPr>
        <w:ind w:left="1844" w:hangingChars="800" w:hanging="1844"/>
        <w:rPr>
          <w:rFonts w:ascii="ＭＳ 明朝" w:hAnsi="ＭＳ 明朝"/>
          <w:bCs/>
          <w:sz w:val="22"/>
          <w:szCs w:val="22"/>
        </w:rPr>
      </w:pPr>
      <w:r>
        <w:rPr>
          <w:rFonts w:ascii="ＭＳ 明朝" w:hAnsi="ＭＳ 明朝" w:hint="eastAsia"/>
          <w:bCs/>
          <w:sz w:val="22"/>
          <w:szCs w:val="22"/>
        </w:rPr>
        <w:lastRenderedPageBreak/>
        <w:t>８．競技規則</w:t>
      </w:r>
    </w:p>
    <w:p w14:paraId="5D1A231E" w14:textId="77777777" w:rsidR="002950FF" w:rsidRDefault="00000000">
      <w:pPr>
        <w:ind w:firstLineChars="500" w:firstLine="1152"/>
        <w:rPr>
          <w:rFonts w:ascii="ＭＳ 明朝" w:hAnsi="ＭＳ 明朝"/>
          <w:sz w:val="22"/>
          <w:szCs w:val="22"/>
        </w:rPr>
      </w:pPr>
      <w:r>
        <w:rPr>
          <w:rFonts w:ascii="ＭＳ 明朝" w:hAnsi="ＭＳ 明朝" w:hint="eastAsia"/>
          <w:sz w:val="22"/>
          <w:szCs w:val="22"/>
        </w:rPr>
        <w:t xml:space="preserve">①　2024年度（公財）日本サッカー協会制定の【サッカー競技規則】による。　　　　　　</w:t>
      </w:r>
    </w:p>
    <w:p w14:paraId="4EC215E2" w14:textId="77777777" w:rsidR="002950FF" w:rsidRDefault="00000000">
      <w:pPr>
        <w:ind w:leftChars="514" w:left="1331" w:hangingChars="86" w:hanging="198"/>
        <w:rPr>
          <w:rFonts w:ascii="ＭＳ 明朝" w:hAnsi="ＭＳ 明朝"/>
          <w:sz w:val="22"/>
          <w:szCs w:val="22"/>
        </w:rPr>
      </w:pPr>
      <w:r>
        <w:rPr>
          <w:rFonts w:ascii="ＭＳ 明朝" w:hAnsi="ＭＳ 明朝" w:hint="eastAsia"/>
          <w:sz w:val="22"/>
          <w:szCs w:val="22"/>
        </w:rPr>
        <w:t>②　選手登録は２２名までとし、交替選手は競技開始前にメンバー表に記載、提出した７名より５名が交替できる。（エントリー１８名、役員６名）</w:t>
      </w:r>
    </w:p>
    <w:p w14:paraId="06CE4CBB" w14:textId="77777777" w:rsidR="002950FF" w:rsidRDefault="00000000">
      <w:pPr>
        <w:pStyle w:val="2"/>
        <w:ind w:leftChars="515" w:left="1331" w:hangingChars="85" w:hanging="196"/>
        <w:rPr>
          <w:rFonts w:ascii="ＭＳ 明朝" w:hAnsi="ＭＳ 明朝"/>
          <w:sz w:val="22"/>
          <w:szCs w:val="22"/>
        </w:rPr>
      </w:pPr>
      <w:r>
        <w:rPr>
          <w:rFonts w:ascii="ＭＳ 明朝" w:hAnsi="ＭＳ 明朝" w:hint="eastAsia"/>
          <w:sz w:val="22"/>
          <w:szCs w:val="22"/>
        </w:rPr>
        <w:t>③　チームが試合開始時間に遅れた場合は、いかなる理由があろうとも不戦敗扱いとする。不戦敗チームは来年度の出場資格を失う。</w:t>
      </w:r>
    </w:p>
    <w:p w14:paraId="33625C4E" w14:textId="77777777" w:rsidR="002950FF" w:rsidRDefault="00000000">
      <w:pPr>
        <w:pStyle w:val="2"/>
        <w:ind w:leftChars="514" w:left="1331" w:hangingChars="86" w:hanging="198"/>
        <w:rPr>
          <w:rFonts w:ascii="ＭＳ 明朝" w:hAnsi="ＭＳ 明朝"/>
          <w:sz w:val="22"/>
          <w:szCs w:val="22"/>
        </w:rPr>
      </w:pPr>
      <w:r>
        <w:rPr>
          <w:rFonts w:ascii="ＭＳ 明朝" w:hAnsi="ＭＳ 明朝" w:hint="eastAsia"/>
          <w:sz w:val="22"/>
          <w:szCs w:val="22"/>
        </w:rPr>
        <w:t>④　大会期間中に累積された警告が２回となった選手は、自動的に次戦の出場停止処分を受ける。尚累積された警告は本大会終了をもって無効とする。</w:t>
      </w:r>
    </w:p>
    <w:p w14:paraId="5F7BE2EB" w14:textId="77777777" w:rsidR="002950FF" w:rsidRDefault="00000000">
      <w:pPr>
        <w:pStyle w:val="2"/>
        <w:ind w:leftChars="514" w:left="1331" w:hangingChars="86" w:hanging="198"/>
        <w:jc w:val="both"/>
        <w:rPr>
          <w:rFonts w:ascii="ＭＳ 明朝" w:hAnsi="ＭＳ 明朝"/>
          <w:sz w:val="22"/>
          <w:szCs w:val="22"/>
        </w:rPr>
      </w:pPr>
      <w:r>
        <w:rPr>
          <w:rFonts w:ascii="ＭＳ 明朝" w:hAnsi="ＭＳ 明朝" w:hint="eastAsia"/>
          <w:sz w:val="22"/>
          <w:szCs w:val="22"/>
        </w:rPr>
        <w:t>⑤ 退場を命じられた選手及び退席を命じられた役員は、自動的に次の公式試合１試合の出場停止処分を受ける。その後の処置については大会規律委員会で決定する。</w:t>
      </w:r>
    </w:p>
    <w:p w14:paraId="2EBD2F42" w14:textId="77777777" w:rsidR="002950FF" w:rsidRDefault="002950FF">
      <w:pPr>
        <w:jc w:val="left"/>
        <w:rPr>
          <w:rFonts w:ascii="ＭＳ 明朝" w:hAnsi="ＭＳ 明朝"/>
          <w:b/>
          <w:bCs/>
          <w:sz w:val="22"/>
          <w:szCs w:val="22"/>
        </w:rPr>
      </w:pPr>
    </w:p>
    <w:p w14:paraId="2ACAC14F" w14:textId="77777777" w:rsidR="002950FF" w:rsidRDefault="00000000">
      <w:pPr>
        <w:ind w:left="1832" w:hangingChars="795" w:hanging="1832"/>
        <w:jc w:val="left"/>
        <w:rPr>
          <w:rFonts w:ascii="ＭＳ 明朝" w:hAnsi="ＭＳ 明朝"/>
          <w:bCs/>
          <w:sz w:val="22"/>
          <w:szCs w:val="22"/>
        </w:rPr>
      </w:pPr>
      <w:r>
        <w:rPr>
          <w:rFonts w:ascii="ＭＳ 明朝" w:hAnsi="ＭＳ 明朝" w:hint="eastAsia"/>
          <w:bCs/>
          <w:sz w:val="22"/>
          <w:szCs w:val="22"/>
        </w:rPr>
        <w:t>９．ユニフォーム</w:t>
      </w:r>
    </w:p>
    <w:p w14:paraId="3F66AE5E" w14:textId="77777777" w:rsidR="002950FF" w:rsidRDefault="00000000">
      <w:pPr>
        <w:ind w:leftChars="515" w:left="1559" w:hangingChars="184" w:hanging="424"/>
        <w:jc w:val="left"/>
        <w:rPr>
          <w:rFonts w:ascii="ＭＳ 明朝" w:hAnsi="ＭＳ 明朝"/>
          <w:sz w:val="22"/>
          <w:szCs w:val="22"/>
        </w:rPr>
      </w:pPr>
      <w:r>
        <w:rPr>
          <w:rFonts w:ascii="ＭＳ 明朝" w:hAnsi="ＭＳ 明朝" w:hint="eastAsia"/>
          <w:sz w:val="22"/>
          <w:szCs w:val="22"/>
        </w:rPr>
        <w:t>①　ユニフォーム（シャツ、ショーツ、ストッキング）は、正のほかに、副として正と異なる色のユニフォーム（シャツ、ショーツ、ストッキング）を必ず携行すること。</w:t>
      </w:r>
    </w:p>
    <w:p w14:paraId="613C2E9A" w14:textId="77777777" w:rsidR="002950FF" w:rsidRDefault="00000000">
      <w:pPr>
        <w:numPr>
          <w:ilvl w:val="0"/>
          <w:numId w:val="2"/>
        </w:numPr>
        <w:ind w:hanging="486"/>
        <w:jc w:val="left"/>
        <w:rPr>
          <w:rFonts w:ascii="ＭＳ 明朝" w:hAnsi="ＭＳ 明朝"/>
          <w:sz w:val="22"/>
          <w:szCs w:val="22"/>
        </w:rPr>
      </w:pPr>
      <w:r>
        <w:rPr>
          <w:rFonts w:ascii="ＭＳ 明朝" w:hAnsi="ＭＳ 明朝" w:hint="eastAsia"/>
          <w:sz w:val="22"/>
          <w:szCs w:val="22"/>
        </w:rPr>
        <w:t>チームのユニフォーム（ゴールキーパーのユニフォームを含む）のうち、シャツの色彩は、審判員が通常着用する黒色と明確に判別し得るものでなければならない。</w:t>
      </w:r>
    </w:p>
    <w:p w14:paraId="5CD4BDB5" w14:textId="77777777" w:rsidR="002950FF" w:rsidRDefault="00000000">
      <w:pPr>
        <w:numPr>
          <w:ilvl w:val="0"/>
          <w:numId w:val="2"/>
        </w:numPr>
        <w:ind w:hanging="486"/>
        <w:jc w:val="left"/>
        <w:rPr>
          <w:rFonts w:ascii="ＭＳ 明朝" w:hAnsi="ＭＳ 明朝"/>
          <w:sz w:val="22"/>
          <w:szCs w:val="22"/>
        </w:rPr>
      </w:pPr>
      <w:r>
        <w:rPr>
          <w:rFonts w:ascii="ＭＳ 明朝" w:hAnsi="ＭＳ 明朝" w:hint="eastAsia"/>
          <w:sz w:val="22"/>
          <w:szCs w:val="22"/>
        </w:rPr>
        <w:t>背番号の大きさは、縦２５cm程度、横はこれに比例して適当な大きさで番号は見やすいものとする。また、ユニフォームのシャツが縞（縦縞も横縞も）の場合は、白布地（縦３０cm×横３０cm位）に背番号をつけ、分かりやすくすること。</w:t>
      </w:r>
    </w:p>
    <w:p w14:paraId="687EBAF1" w14:textId="77777777" w:rsidR="002950FF" w:rsidRDefault="00000000">
      <w:pPr>
        <w:numPr>
          <w:ilvl w:val="0"/>
          <w:numId w:val="2"/>
        </w:numPr>
        <w:ind w:hanging="486"/>
        <w:jc w:val="left"/>
        <w:rPr>
          <w:rFonts w:ascii="ＭＳ 明朝" w:hAnsi="ＭＳ 明朝"/>
          <w:sz w:val="22"/>
          <w:szCs w:val="22"/>
        </w:rPr>
      </w:pPr>
      <w:r>
        <w:rPr>
          <w:rFonts w:ascii="ＭＳ 明朝" w:hAnsi="ＭＳ 明朝" w:hint="eastAsia"/>
          <w:sz w:val="22"/>
          <w:szCs w:val="22"/>
        </w:rPr>
        <w:t>記録をより正確にするため、「ショーツの左側」に縦１０cm位の番号（背番号と同じもの）をつけることが好ましい。</w:t>
      </w:r>
    </w:p>
    <w:p w14:paraId="60D6A8DC" w14:textId="77777777" w:rsidR="002950FF" w:rsidRDefault="002950FF">
      <w:pPr>
        <w:jc w:val="left"/>
        <w:rPr>
          <w:rFonts w:ascii="ＭＳ 明朝" w:hAnsi="ＭＳ 明朝"/>
          <w:sz w:val="22"/>
          <w:szCs w:val="22"/>
        </w:rPr>
      </w:pPr>
    </w:p>
    <w:p w14:paraId="2618DCAF" w14:textId="77777777" w:rsidR="002950FF" w:rsidRDefault="00000000">
      <w:pPr>
        <w:ind w:left="1821" w:hangingChars="790" w:hanging="1821"/>
        <w:jc w:val="left"/>
        <w:rPr>
          <w:rFonts w:ascii="ＭＳ 明朝" w:hAnsi="ＭＳ 明朝"/>
          <w:bCs/>
          <w:sz w:val="22"/>
          <w:szCs w:val="22"/>
        </w:rPr>
      </w:pPr>
      <w:r>
        <w:rPr>
          <w:rFonts w:ascii="ＭＳ 明朝" w:hAnsi="ＭＳ 明朝" w:hint="eastAsia"/>
          <w:bCs/>
          <w:sz w:val="22"/>
          <w:szCs w:val="22"/>
        </w:rPr>
        <w:t>１０．その他</w:t>
      </w:r>
    </w:p>
    <w:p w14:paraId="22D6FA78" w14:textId="77777777" w:rsidR="002950FF" w:rsidRDefault="00000000">
      <w:pPr>
        <w:ind w:leftChars="200" w:left="1806" w:hangingChars="590" w:hanging="1365"/>
        <w:jc w:val="left"/>
        <w:rPr>
          <w:rFonts w:ascii="ＭＳ 明朝" w:hAnsi="ＭＳ 明朝"/>
          <w:sz w:val="22"/>
          <w:szCs w:val="22"/>
        </w:rPr>
      </w:pPr>
      <w:r>
        <w:rPr>
          <w:rFonts w:ascii="ＭＳ 明朝" w:hAnsi="ＭＳ 明朝" w:hint="eastAsia"/>
          <w:b/>
          <w:bCs/>
          <w:sz w:val="22"/>
          <w:szCs w:val="22"/>
        </w:rPr>
        <w:t xml:space="preserve">　　　</w:t>
      </w:r>
      <w:r>
        <w:rPr>
          <w:rFonts w:ascii="ＭＳ 明朝" w:hAnsi="ＭＳ 明朝" w:hint="eastAsia"/>
          <w:sz w:val="22"/>
          <w:szCs w:val="22"/>
        </w:rPr>
        <w:t>①　本大会に参加を申し込んだ後の棄権は一切認めない。但し、他の大会との重複により、棄権する場合は来年度の本大会への出場は可能とする。何れの場合においても、参加料は返却しない。</w:t>
      </w:r>
    </w:p>
    <w:p w14:paraId="2C539FB7" w14:textId="77777777" w:rsidR="002950FF" w:rsidRDefault="00000000">
      <w:pPr>
        <w:pStyle w:val="30"/>
        <w:numPr>
          <w:ilvl w:val="0"/>
          <w:numId w:val="3"/>
        </w:numPr>
        <w:ind w:firstLineChars="0" w:hanging="471"/>
        <w:rPr>
          <w:rFonts w:ascii="ＭＳ 明朝" w:hAnsi="ＭＳ 明朝"/>
          <w:sz w:val="22"/>
          <w:szCs w:val="22"/>
        </w:rPr>
      </w:pPr>
      <w:r>
        <w:rPr>
          <w:rFonts w:ascii="ＭＳ 明朝" w:hAnsi="ＭＳ 明朝" w:hint="eastAsia"/>
          <w:sz w:val="22"/>
          <w:szCs w:val="22"/>
        </w:rPr>
        <w:t xml:space="preserve">　審判（主審・副審・予備審）はあらかじめ割り当てた参加チームの帯同審判員で行うこととし割り当てられた審判を遂行できなかった場合、その審判の所属（委託）チームは来年度の出場資格を失う。（帯同審判員は各チーム2名行ってもらうが、原則3級以上の審判員で行う。チーム事情で３級以上審判員が当日2名行うことが出来ない場合は、事前に事務局に連絡し、３級以上１名、４級１名で行うこと。）</w:t>
      </w:r>
    </w:p>
    <w:p w14:paraId="1F230C52" w14:textId="77777777" w:rsidR="002950FF" w:rsidRDefault="00000000">
      <w:pPr>
        <w:numPr>
          <w:ilvl w:val="0"/>
          <w:numId w:val="3"/>
        </w:numPr>
        <w:ind w:hanging="471"/>
        <w:jc w:val="left"/>
        <w:rPr>
          <w:rFonts w:ascii="ＭＳ 明朝" w:hAnsi="ＭＳ 明朝"/>
          <w:sz w:val="22"/>
          <w:szCs w:val="22"/>
        </w:rPr>
      </w:pPr>
      <w:r>
        <w:rPr>
          <w:rFonts w:ascii="ＭＳ 明朝" w:hAnsi="ＭＳ 明朝" w:hint="eastAsia"/>
          <w:sz w:val="22"/>
          <w:szCs w:val="22"/>
        </w:rPr>
        <w:t>準決勝、決勝については社会人連盟審判部より審判を派遣する。</w:t>
      </w:r>
    </w:p>
    <w:p w14:paraId="1E9C5B4A" w14:textId="77777777" w:rsidR="002950FF" w:rsidRDefault="00000000">
      <w:pPr>
        <w:numPr>
          <w:ilvl w:val="0"/>
          <w:numId w:val="3"/>
        </w:numPr>
        <w:ind w:hanging="471"/>
        <w:jc w:val="left"/>
        <w:rPr>
          <w:rFonts w:ascii="ＭＳ 明朝" w:hAnsi="ＭＳ 明朝"/>
          <w:sz w:val="22"/>
          <w:szCs w:val="22"/>
        </w:rPr>
      </w:pPr>
      <w:r>
        <w:rPr>
          <w:rFonts w:ascii="ＭＳ 明朝" w:hAnsi="ＭＳ 明朝" w:hint="eastAsia"/>
          <w:sz w:val="22"/>
          <w:szCs w:val="22"/>
        </w:rPr>
        <w:t>本大会要項に規定されていない事項については大会実施委員会において協議の上決定する。</w:t>
      </w:r>
    </w:p>
    <w:p w14:paraId="6F66F3E1" w14:textId="77777777" w:rsidR="002950FF" w:rsidRDefault="00000000">
      <w:pPr>
        <w:numPr>
          <w:ilvl w:val="0"/>
          <w:numId w:val="3"/>
        </w:numPr>
        <w:ind w:hanging="471"/>
        <w:jc w:val="left"/>
        <w:rPr>
          <w:rFonts w:ascii="ＭＳ 明朝" w:hAnsi="ＭＳ 明朝"/>
          <w:sz w:val="22"/>
          <w:szCs w:val="22"/>
        </w:rPr>
      </w:pPr>
      <w:r>
        <w:rPr>
          <w:rFonts w:ascii="ＭＳ 明朝" w:hAnsi="ＭＳ 明朝" w:hint="eastAsia"/>
          <w:sz w:val="22"/>
          <w:szCs w:val="22"/>
        </w:rPr>
        <w:t>参加資格に違反し、そのほか不都合な行為のあったときは、そのチームの出場を停止する。</w:t>
      </w:r>
    </w:p>
    <w:p w14:paraId="5BA70250" w14:textId="77777777" w:rsidR="002950FF" w:rsidRDefault="00000000">
      <w:pPr>
        <w:numPr>
          <w:ilvl w:val="0"/>
          <w:numId w:val="3"/>
        </w:numPr>
        <w:ind w:hanging="471"/>
        <w:jc w:val="left"/>
        <w:rPr>
          <w:rFonts w:ascii="ＭＳ 明朝" w:hAnsi="ＭＳ 明朝"/>
          <w:sz w:val="22"/>
          <w:szCs w:val="22"/>
        </w:rPr>
      </w:pPr>
      <w:r>
        <w:rPr>
          <w:rFonts w:ascii="ＭＳ 明朝" w:hAnsi="ＭＳ 明朝" w:hint="eastAsia"/>
          <w:sz w:val="22"/>
          <w:szCs w:val="22"/>
        </w:rPr>
        <w:t>各日程に於いて、出場全チームの協力をお願いします。</w:t>
      </w:r>
    </w:p>
    <w:p w14:paraId="31108F67" w14:textId="77777777" w:rsidR="002950FF" w:rsidRDefault="00000000">
      <w:pPr>
        <w:numPr>
          <w:ilvl w:val="0"/>
          <w:numId w:val="3"/>
        </w:numPr>
        <w:ind w:hanging="471"/>
        <w:jc w:val="left"/>
        <w:rPr>
          <w:rFonts w:ascii="ＭＳ 明朝" w:hAnsi="ＭＳ 明朝"/>
          <w:sz w:val="22"/>
          <w:szCs w:val="22"/>
        </w:rPr>
      </w:pPr>
      <w:r>
        <w:rPr>
          <w:rFonts w:ascii="ＭＳ 明朝" w:hAnsi="ＭＳ 明朝" w:hint="eastAsia"/>
          <w:sz w:val="22"/>
          <w:szCs w:val="22"/>
        </w:rPr>
        <w:t>この案内は、参加資格のある2024年度新潟県社会人サッカー連盟登録チームに送付しています。</w:t>
      </w:r>
    </w:p>
    <w:p w14:paraId="635A422D" w14:textId="77777777" w:rsidR="002950FF" w:rsidRDefault="002950FF">
      <w:pPr>
        <w:jc w:val="left"/>
        <w:rPr>
          <w:rFonts w:ascii="ＭＳ 明朝" w:hAnsi="ＭＳ 明朝"/>
          <w:sz w:val="22"/>
          <w:szCs w:val="22"/>
        </w:rPr>
      </w:pPr>
    </w:p>
    <w:p w14:paraId="18A9976F" w14:textId="77777777" w:rsidR="002950FF" w:rsidRDefault="002950FF">
      <w:pPr>
        <w:jc w:val="left"/>
        <w:rPr>
          <w:rFonts w:ascii="ＭＳ 明朝" w:hAnsi="ＭＳ 明朝"/>
          <w:sz w:val="22"/>
          <w:szCs w:val="22"/>
        </w:rPr>
      </w:pPr>
    </w:p>
    <w:sectPr w:rsidR="002950FF">
      <w:footerReference w:type="even" r:id="rId8"/>
      <w:footerReference w:type="default" r:id="rId9"/>
      <w:pgSz w:w="11906" w:h="16838"/>
      <w:pgMar w:top="1134" w:right="851" w:bottom="851" w:left="1134" w:header="851" w:footer="737" w:gutter="0"/>
      <w:cols w:space="425"/>
      <w:docGrid w:type="linesAndChars" w:linePitch="33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8090" w14:textId="77777777" w:rsidR="00CE1D5E" w:rsidRDefault="00CE1D5E">
      <w:r>
        <w:separator/>
      </w:r>
    </w:p>
  </w:endnote>
  <w:endnote w:type="continuationSeparator" w:id="0">
    <w:p w14:paraId="73194515" w14:textId="77777777" w:rsidR="00CE1D5E" w:rsidRDefault="00CE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299B" w14:textId="77777777" w:rsidR="002950FF" w:rsidRDefault="00000000">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E4AD470" w14:textId="77777777" w:rsidR="002950FF" w:rsidRDefault="002950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8B48" w14:textId="77777777" w:rsidR="002950FF" w:rsidRDefault="00000000">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028A45FE" w14:textId="77777777" w:rsidR="002950FF" w:rsidRDefault="002950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CBCF" w14:textId="77777777" w:rsidR="00CE1D5E" w:rsidRDefault="00CE1D5E">
      <w:r>
        <w:separator/>
      </w:r>
    </w:p>
  </w:footnote>
  <w:footnote w:type="continuationSeparator" w:id="0">
    <w:p w14:paraId="2538624D" w14:textId="77777777" w:rsidR="00CE1D5E" w:rsidRDefault="00CE1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26C"/>
    <w:multiLevelType w:val="multilevel"/>
    <w:tmpl w:val="14EB326C"/>
    <w:lvl w:ilvl="0">
      <w:start w:val="2"/>
      <w:numFmt w:val="decimalEnclosedCircle"/>
      <w:lvlText w:val="%1"/>
      <w:lvlJc w:val="left"/>
      <w:pPr>
        <w:tabs>
          <w:tab w:val="left" w:pos="1605"/>
        </w:tabs>
        <w:ind w:left="1605" w:hanging="360"/>
      </w:pPr>
      <w:rPr>
        <w:rFonts w:hint="default"/>
      </w:rPr>
    </w:lvl>
    <w:lvl w:ilvl="1">
      <w:start w:val="1"/>
      <w:numFmt w:val="aiueoFullWidth"/>
      <w:lvlText w:val="(%2)"/>
      <w:lvlJc w:val="left"/>
      <w:pPr>
        <w:tabs>
          <w:tab w:val="left" w:pos="2085"/>
        </w:tabs>
        <w:ind w:left="2085" w:hanging="420"/>
      </w:pPr>
    </w:lvl>
    <w:lvl w:ilvl="2">
      <w:start w:val="1"/>
      <w:numFmt w:val="decimalEnclosedCircle"/>
      <w:lvlText w:val="%3"/>
      <w:lvlJc w:val="left"/>
      <w:pPr>
        <w:tabs>
          <w:tab w:val="left" w:pos="2505"/>
        </w:tabs>
        <w:ind w:left="2505" w:hanging="420"/>
      </w:pPr>
    </w:lvl>
    <w:lvl w:ilvl="3">
      <w:start w:val="1"/>
      <w:numFmt w:val="decimal"/>
      <w:lvlText w:val="%4."/>
      <w:lvlJc w:val="left"/>
      <w:pPr>
        <w:tabs>
          <w:tab w:val="left" w:pos="2925"/>
        </w:tabs>
        <w:ind w:left="2925" w:hanging="420"/>
      </w:pPr>
    </w:lvl>
    <w:lvl w:ilvl="4">
      <w:start w:val="1"/>
      <w:numFmt w:val="aiueoFullWidth"/>
      <w:lvlText w:val="(%5)"/>
      <w:lvlJc w:val="left"/>
      <w:pPr>
        <w:tabs>
          <w:tab w:val="left" w:pos="3345"/>
        </w:tabs>
        <w:ind w:left="3345" w:hanging="420"/>
      </w:pPr>
    </w:lvl>
    <w:lvl w:ilvl="5">
      <w:start w:val="1"/>
      <w:numFmt w:val="decimalEnclosedCircle"/>
      <w:lvlText w:val="%6"/>
      <w:lvlJc w:val="left"/>
      <w:pPr>
        <w:tabs>
          <w:tab w:val="left" w:pos="3765"/>
        </w:tabs>
        <w:ind w:left="3765" w:hanging="420"/>
      </w:pPr>
    </w:lvl>
    <w:lvl w:ilvl="6">
      <w:start w:val="1"/>
      <w:numFmt w:val="decimal"/>
      <w:lvlText w:val="%7."/>
      <w:lvlJc w:val="left"/>
      <w:pPr>
        <w:tabs>
          <w:tab w:val="left" w:pos="4185"/>
        </w:tabs>
        <w:ind w:left="4185" w:hanging="420"/>
      </w:pPr>
    </w:lvl>
    <w:lvl w:ilvl="7">
      <w:start w:val="1"/>
      <w:numFmt w:val="aiueoFullWidth"/>
      <w:lvlText w:val="(%8)"/>
      <w:lvlJc w:val="left"/>
      <w:pPr>
        <w:tabs>
          <w:tab w:val="left" w:pos="4605"/>
        </w:tabs>
        <w:ind w:left="4605" w:hanging="420"/>
      </w:pPr>
    </w:lvl>
    <w:lvl w:ilvl="8">
      <w:start w:val="1"/>
      <w:numFmt w:val="decimalEnclosedCircle"/>
      <w:lvlText w:val="%9"/>
      <w:lvlJc w:val="left"/>
      <w:pPr>
        <w:tabs>
          <w:tab w:val="left" w:pos="5025"/>
        </w:tabs>
        <w:ind w:left="5025" w:hanging="420"/>
      </w:pPr>
    </w:lvl>
  </w:abstractNum>
  <w:abstractNum w:abstractNumId="1" w15:restartNumberingAfterBreak="0">
    <w:nsid w:val="521B1CDA"/>
    <w:multiLevelType w:val="multilevel"/>
    <w:tmpl w:val="521B1CDA"/>
    <w:lvl w:ilvl="0">
      <w:start w:val="1"/>
      <w:numFmt w:val="decimalEnclosedCircle"/>
      <w:lvlText w:val="%1"/>
      <w:lvlJc w:val="left"/>
      <w:pPr>
        <w:tabs>
          <w:tab w:val="left" w:pos="1680"/>
        </w:tabs>
        <w:ind w:left="1680" w:hanging="420"/>
      </w:pPr>
      <w:rPr>
        <w:rFonts w:hint="eastAsia"/>
      </w:rPr>
    </w:lvl>
    <w:lvl w:ilvl="1">
      <w:start w:val="1"/>
      <w:numFmt w:val="aiueoFullWidth"/>
      <w:lvlText w:val="(%2)"/>
      <w:lvlJc w:val="left"/>
      <w:pPr>
        <w:tabs>
          <w:tab w:val="left" w:pos="2100"/>
        </w:tabs>
        <w:ind w:left="2100" w:hanging="420"/>
      </w:pPr>
    </w:lvl>
    <w:lvl w:ilvl="2">
      <w:start w:val="1"/>
      <w:numFmt w:val="decimalEnclosedCircle"/>
      <w:lvlText w:val="%3"/>
      <w:lvlJc w:val="left"/>
      <w:pPr>
        <w:tabs>
          <w:tab w:val="left" w:pos="2520"/>
        </w:tabs>
        <w:ind w:left="2520" w:hanging="420"/>
      </w:pPr>
    </w:lvl>
    <w:lvl w:ilvl="3">
      <w:start w:val="1"/>
      <w:numFmt w:val="decimal"/>
      <w:lvlText w:val="%4."/>
      <w:lvlJc w:val="left"/>
      <w:pPr>
        <w:tabs>
          <w:tab w:val="left" w:pos="2940"/>
        </w:tabs>
        <w:ind w:left="2940" w:hanging="420"/>
      </w:pPr>
    </w:lvl>
    <w:lvl w:ilvl="4">
      <w:start w:val="1"/>
      <w:numFmt w:val="aiueoFullWidth"/>
      <w:lvlText w:val="(%5)"/>
      <w:lvlJc w:val="left"/>
      <w:pPr>
        <w:tabs>
          <w:tab w:val="left" w:pos="3360"/>
        </w:tabs>
        <w:ind w:left="3360" w:hanging="420"/>
      </w:pPr>
    </w:lvl>
    <w:lvl w:ilvl="5">
      <w:start w:val="1"/>
      <w:numFmt w:val="decimalEnclosedCircle"/>
      <w:lvlText w:val="%6"/>
      <w:lvlJc w:val="left"/>
      <w:pPr>
        <w:tabs>
          <w:tab w:val="left" w:pos="3780"/>
        </w:tabs>
        <w:ind w:left="3780" w:hanging="420"/>
      </w:pPr>
    </w:lvl>
    <w:lvl w:ilvl="6">
      <w:start w:val="1"/>
      <w:numFmt w:val="decimal"/>
      <w:lvlText w:val="%7."/>
      <w:lvlJc w:val="left"/>
      <w:pPr>
        <w:tabs>
          <w:tab w:val="left" w:pos="4200"/>
        </w:tabs>
        <w:ind w:left="4200" w:hanging="420"/>
      </w:pPr>
    </w:lvl>
    <w:lvl w:ilvl="7">
      <w:start w:val="1"/>
      <w:numFmt w:val="aiueoFullWidth"/>
      <w:lvlText w:val="(%8)"/>
      <w:lvlJc w:val="left"/>
      <w:pPr>
        <w:tabs>
          <w:tab w:val="left" w:pos="4620"/>
        </w:tabs>
        <w:ind w:left="4620" w:hanging="420"/>
      </w:pPr>
    </w:lvl>
    <w:lvl w:ilvl="8">
      <w:start w:val="1"/>
      <w:numFmt w:val="decimalEnclosedCircle"/>
      <w:lvlText w:val="%9"/>
      <w:lvlJc w:val="left"/>
      <w:pPr>
        <w:tabs>
          <w:tab w:val="left" w:pos="5040"/>
        </w:tabs>
        <w:ind w:left="5040" w:hanging="420"/>
      </w:pPr>
    </w:lvl>
  </w:abstractNum>
  <w:abstractNum w:abstractNumId="2" w15:restartNumberingAfterBreak="0">
    <w:nsid w:val="68401FA1"/>
    <w:multiLevelType w:val="multilevel"/>
    <w:tmpl w:val="68401FA1"/>
    <w:lvl w:ilvl="0">
      <w:start w:val="2"/>
      <w:numFmt w:val="decimalEnclosedCircle"/>
      <w:lvlText w:val="%1"/>
      <w:lvlJc w:val="left"/>
      <w:pPr>
        <w:tabs>
          <w:tab w:val="left" w:pos="1620"/>
        </w:tabs>
        <w:ind w:left="1620" w:hanging="360"/>
      </w:pPr>
      <w:rPr>
        <w:rFonts w:hint="eastAsia"/>
      </w:rPr>
    </w:lvl>
    <w:lvl w:ilvl="1">
      <w:start w:val="1"/>
      <w:numFmt w:val="aiueoFullWidth"/>
      <w:lvlText w:val="(%2)"/>
      <w:lvlJc w:val="left"/>
      <w:pPr>
        <w:tabs>
          <w:tab w:val="left" w:pos="2100"/>
        </w:tabs>
        <w:ind w:left="2100" w:hanging="420"/>
      </w:pPr>
    </w:lvl>
    <w:lvl w:ilvl="2">
      <w:start w:val="1"/>
      <w:numFmt w:val="decimalEnclosedCircle"/>
      <w:lvlText w:val="%3"/>
      <w:lvlJc w:val="left"/>
      <w:pPr>
        <w:tabs>
          <w:tab w:val="left" w:pos="2520"/>
        </w:tabs>
        <w:ind w:left="2520" w:hanging="420"/>
      </w:pPr>
    </w:lvl>
    <w:lvl w:ilvl="3">
      <w:start w:val="1"/>
      <w:numFmt w:val="decimal"/>
      <w:lvlText w:val="%4."/>
      <w:lvlJc w:val="left"/>
      <w:pPr>
        <w:tabs>
          <w:tab w:val="left" w:pos="2940"/>
        </w:tabs>
        <w:ind w:left="2940" w:hanging="420"/>
      </w:pPr>
    </w:lvl>
    <w:lvl w:ilvl="4">
      <w:start w:val="1"/>
      <w:numFmt w:val="aiueoFullWidth"/>
      <w:lvlText w:val="(%5)"/>
      <w:lvlJc w:val="left"/>
      <w:pPr>
        <w:tabs>
          <w:tab w:val="left" w:pos="3360"/>
        </w:tabs>
        <w:ind w:left="3360" w:hanging="420"/>
      </w:pPr>
    </w:lvl>
    <w:lvl w:ilvl="5">
      <w:start w:val="1"/>
      <w:numFmt w:val="decimalEnclosedCircle"/>
      <w:lvlText w:val="%6"/>
      <w:lvlJc w:val="left"/>
      <w:pPr>
        <w:tabs>
          <w:tab w:val="left" w:pos="3780"/>
        </w:tabs>
        <w:ind w:left="3780" w:hanging="420"/>
      </w:pPr>
    </w:lvl>
    <w:lvl w:ilvl="6">
      <w:start w:val="1"/>
      <w:numFmt w:val="decimal"/>
      <w:lvlText w:val="%7."/>
      <w:lvlJc w:val="left"/>
      <w:pPr>
        <w:tabs>
          <w:tab w:val="left" w:pos="4200"/>
        </w:tabs>
        <w:ind w:left="4200" w:hanging="420"/>
      </w:pPr>
    </w:lvl>
    <w:lvl w:ilvl="7">
      <w:start w:val="1"/>
      <w:numFmt w:val="aiueoFullWidth"/>
      <w:lvlText w:val="(%8)"/>
      <w:lvlJc w:val="left"/>
      <w:pPr>
        <w:tabs>
          <w:tab w:val="left" w:pos="4620"/>
        </w:tabs>
        <w:ind w:left="4620" w:hanging="420"/>
      </w:pPr>
    </w:lvl>
    <w:lvl w:ilvl="8">
      <w:start w:val="1"/>
      <w:numFmt w:val="decimalEnclosedCircle"/>
      <w:lvlText w:val="%9"/>
      <w:lvlJc w:val="left"/>
      <w:pPr>
        <w:tabs>
          <w:tab w:val="left" w:pos="5040"/>
        </w:tabs>
        <w:ind w:left="5040" w:hanging="420"/>
      </w:pPr>
    </w:lvl>
  </w:abstractNum>
  <w:num w:numId="1" w16cid:durableId="1365639641">
    <w:abstractNumId w:val="1"/>
  </w:num>
  <w:num w:numId="2" w16cid:durableId="1156989554">
    <w:abstractNumId w:val="2"/>
  </w:num>
  <w:num w:numId="3" w16cid:durableId="182322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1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71"/>
    <w:rsid w:val="0000372A"/>
    <w:rsid w:val="000041AF"/>
    <w:rsid w:val="00076A12"/>
    <w:rsid w:val="00080B14"/>
    <w:rsid w:val="000918E8"/>
    <w:rsid w:val="000B7543"/>
    <w:rsid w:val="000D3824"/>
    <w:rsid w:val="000D4190"/>
    <w:rsid w:val="000D65A2"/>
    <w:rsid w:val="00101F7B"/>
    <w:rsid w:val="0016666F"/>
    <w:rsid w:val="0016715C"/>
    <w:rsid w:val="001748D7"/>
    <w:rsid w:val="00176CE7"/>
    <w:rsid w:val="00184606"/>
    <w:rsid w:val="001A1369"/>
    <w:rsid w:val="001A6F9E"/>
    <w:rsid w:val="001A7A61"/>
    <w:rsid w:val="001C4327"/>
    <w:rsid w:val="001D2B96"/>
    <w:rsid w:val="001E2885"/>
    <w:rsid w:val="00221FA2"/>
    <w:rsid w:val="00231A7B"/>
    <w:rsid w:val="002950FF"/>
    <w:rsid w:val="002A0271"/>
    <w:rsid w:val="002F5A15"/>
    <w:rsid w:val="002F63C4"/>
    <w:rsid w:val="0031135A"/>
    <w:rsid w:val="00312FA7"/>
    <w:rsid w:val="00334ECA"/>
    <w:rsid w:val="0036590C"/>
    <w:rsid w:val="00372323"/>
    <w:rsid w:val="003E78BF"/>
    <w:rsid w:val="004535FD"/>
    <w:rsid w:val="004910E8"/>
    <w:rsid w:val="004970A6"/>
    <w:rsid w:val="004B10BD"/>
    <w:rsid w:val="004E44E3"/>
    <w:rsid w:val="00513F5B"/>
    <w:rsid w:val="00532BED"/>
    <w:rsid w:val="005867ED"/>
    <w:rsid w:val="00591EBF"/>
    <w:rsid w:val="00600E9A"/>
    <w:rsid w:val="00635FA3"/>
    <w:rsid w:val="006809FA"/>
    <w:rsid w:val="00691883"/>
    <w:rsid w:val="006A5EBA"/>
    <w:rsid w:val="006C74F7"/>
    <w:rsid w:val="006E0A57"/>
    <w:rsid w:val="006F7EAF"/>
    <w:rsid w:val="00705AFB"/>
    <w:rsid w:val="00710E0C"/>
    <w:rsid w:val="00713F24"/>
    <w:rsid w:val="00737A0F"/>
    <w:rsid w:val="00741A4A"/>
    <w:rsid w:val="00756C17"/>
    <w:rsid w:val="00756CCF"/>
    <w:rsid w:val="0076779F"/>
    <w:rsid w:val="007708A1"/>
    <w:rsid w:val="0077673D"/>
    <w:rsid w:val="00784671"/>
    <w:rsid w:val="0079478A"/>
    <w:rsid w:val="007D3A6B"/>
    <w:rsid w:val="007F0BA0"/>
    <w:rsid w:val="007F7606"/>
    <w:rsid w:val="0084062E"/>
    <w:rsid w:val="00875B5B"/>
    <w:rsid w:val="00885E7B"/>
    <w:rsid w:val="0089183C"/>
    <w:rsid w:val="00893D28"/>
    <w:rsid w:val="00895BB8"/>
    <w:rsid w:val="008B7762"/>
    <w:rsid w:val="008C1B5D"/>
    <w:rsid w:val="008C7AA0"/>
    <w:rsid w:val="00936157"/>
    <w:rsid w:val="00940184"/>
    <w:rsid w:val="009A4F73"/>
    <w:rsid w:val="009B5129"/>
    <w:rsid w:val="009D34F4"/>
    <w:rsid w:val="00A42FDF"/>
    <w:rsid w:val="00A51FB1"/>
    <w:rsid w:val="00A65E84"/>
    <w:rsid w:val="00A823A3"/>
    <w:rsid w:val="00AB414C"/>
    <w:rsid w:val="00AB6BAE"/>
    <w:rsid w:val="00AC1967"/>
    <w:rsid w:val="00AD033F"/>
    <w:rsid w:val="00AD5A76"/>
    <w:rsid w:val="00AE04F6"/>
    <w:rsid w:val="00AF7312"/>
    <w:rsid w:val="00B43A32"/>
    <w:rsid w:val="00B4620F"/>
    <w:rsid w:val="00B77240"/>
    <w:rsid w:val="00B93B2C"/>
    <w:rsid w:val="00BA3F84"/>
    <w:rsid w:val="00BB77CC"/>
    <w:rsid w:val="00BC1CAC"/>
    <w:rsid w:val="00BC3C34"/>
    <w:rsid w:val="00BF0893"/>
    <w:rsid w:val="00C25BC3"/>
    <w:rsid w:val="00C27F0C"/>
    <w:rsid w:val="00C41F68"/>
    <w:rsid w:val="00C4553B"/>
    <w:rsid w:val="00CA6D55"/>
    <w:rsid w:val="00CE1D5E"/>
    <w:rsid w:val="00D176FF"/>
    <w:rsid w:val="00D22852"/>
    <w:rsid w:val="00D40238"/>
    <w:rsid w:val="00D86022"/>
    <w:rsid w:val="00DC00B0"/>
    <w:rsid w:val="00DC69C0"/>
    <w:rsid w:val="00DD408A"/>
    <w:rsid w:val="00E03DCE"/>
    <w:rsid w:val="00E41F17"/>
    <w:rsid w:val="00E62AC2"/>
    <w:rsid w:val="00E92DD0"/>
    <w:rsid w:val="00EB2BA6"/>
    <w:rsid w:val="00F0428C"/>
    <w:rsid w:val="00F80C4C"/>
    <w:rsid w:val="00FA0ED9"/>
    <w:rsid w:val="00FF4285"/>
    <w:rsid w:val="03234133"/>
    <w:rsid w:val="2D797585"/>
    <w:rsid w:val="6CA3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0373E8"/>
  <w15:docId w15:val="{A4BD935E-6DF1-45B9-91C1-CF86D220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2310" w:hangingChars="1100" w:hanging="2310"/>
      <w:jc w:val="left"/>
    </w:pPr>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Date"/>
    <w:basedOn w:val="a"/>
    <w:next w:val="a"/>
    <w:semiHidden/>
    <w:rPr>
      <w:sz w:val="22"/>
    </w:rPr>
  </w:style>
  <w:style w:type="paragraph" w:styleId="a6">
    <w:name w:val="footer"/>
    <w:basedOn w:val="a"/>
    <w:semiHidden/>
    <w:pPr>
      <w:tabs>
        <w:tab w:val="center" w:pos="4252"/>
        <w:tab w:val="right" w:pos="8504"/>
      </w:tabs>
      <w:snapToGrid w:val="0"/>
    </w:pPr>
  </w:style>
  <w:style w:type="paragraph" w:styleId="a7">
    <w:name w:val="Body Text Indent"/>
    <w:basedOn w:val="a"/>
    <w:semiHidden/>
    <w:pPr>
      <w:ind w:left="2310" w:hangingChars="1100" w:hanging="2310"/>
    </w:pPr>
  </w:style>
  <w:style w:type="paragraph" w:styleId="30">
    <w:name w:val="Body Text Indent 3"/>
    <w:basedOn w:val="a"/>
    <w:semiHidden/>
    <w:pPr>
      <w:ind w:left="1680" w:hangingChars="800" w:hanging="1680"/>
      <w:jc w:val="left"/>
    </w:pPr>
  </w:style>
  <w:style w:type="paragraph" w:styleId="a8">
    <w:name w:val="header"/>
    <w:basedOn w:val="a"/>
    <w:link w:val="a9"/>
    <w:uiPriority w:val="99"/>
    <w:unhideWhenUsed/>
    <w:pPr>
      <w:tabs>
        <w:tab w:val="center" w:pos="4252"/>
        <w:tab w:val="right" w:pos="8504"/>
      </w:tabs>
      <w:snapToGrid w:val="0"/>
    </w:pPr>
  </w:style>
  <w:style w:type="character" w:styleId="aa">
    <w:name w:val="page number"/>
    <w:basedOn w:val="a0"/>
    <w:semiHidden/>
  </w:style>
  <w:style w:type="character" w:styleId="ab">
    <w:name w:val="Hyperlink"/>
    <w:semiHidden/>
    <w:rPr>
      <w:color w:val="0000FF"/>
      <w:u w:val="single"/>
    </w:rPr>
  </w:style>
  <w:style w:type="character" w:styleId="ac">
    <w:name w:val="FollowedHyperlink"/>
    <w:semiHidden/>
    <w:rPr>
      <w:color w:val="800080"/>
      <w:u w:val="single"/>
    </w:rPr>
  </w:style>
  <w:style w:type="character" w:customStyle="1" w:styleId="a9">
    <w:name w:val="ヘッダー (文字)"/>
    <w:link w:val="a8"/>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1988</Characters>
  <Application>Microsoft Office Word</Application>
  <DocSecurity>2</DocSecurity>
  <Lines>16</Lines>
  <Paragraphs>4</Paragraphs>
  <ScaleCrop>false</ScaleCrop>
  <Company>BRIDGESTONE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平成１６年６月１０日</dc:title>
  <dc:creator>光野　治</dc:creator>
  <cp:lastModifiedBy>茂臣 松田</cp:lastModifiedBy>
  <cp:revision>2</cp:revision>
  <cp:lastPrinted>2018-02-22T01:27:00Z</cp:lastPrinted>
  <dcterms:created xsi:type="dcterms:W3CDTF">2023-11-23T23:10:00Z</dcterms:created>
  <dcterms:modified xsi:type="dcterms:W3CDTF">2023-11-23T23:10:00Z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